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5E0713">
      <w:pPr>
        <w:keepNext w:val="0"/>
        <w:keepLines w:val="0"/>
        <w:pageBreakBefore w:val="0"/>
        <w:widowControl w:val="0"/>
        <w:kinsoku/>
        <w:wordWrap/>
        <w:overflowPunct w:val="0"/>
        <w:topLinePunct w:val="0"/>
        <w:autoSpaceDE/>
        <w:autoSpaceDN/>
        <w:bidi w:val="0"/>
        <w:adjustRightInd/>
        <w:snapToGrid/>
        <w:spacing w:after="0" w:line="560" w:lineRule="exact"/>
        <w:ind w:left="0" w:leftChars="0" w:right="0" w:firstLine="0" w:firstLineChars="0"/>
        <w:jc w:val="center"/>
        <w:textAlignment w:val="auto"/>
        <w:outlineLvl w:val="9"/>
        <w:rPr>
          <w:rFonts w:hint="eastAsia" w:ascii="方正仿宋_GBK" w:hAnsi="方正仿宋_GBK" w:eastAsia="方正仿宋_GBK" w:cs="方正仿宋_GBK"/>
          <w:color w:val="auto"/>
          <w:sz w:val="32"/>
          <w:szCs w:val="32"/>
          <w:highlight w:val="none"/>
        </w:rPr>
      </w:pPr>
    </w:p>
    <w:p w14:paraId="204B666E">
      <w:pPr>
        <w:pStyle w:val="6"/>
        <w:keepNext w:val="0"/>
        <w:keepLines w:val="0"/>
        <w:pageBreakBefore w:val="0"/>
        <w:widowControl w:val="0"/>
        <w:kinsoku/>
        <w:wordWrap/>
        <w:overflowPunct w:val="0"/>
        <w:topLinePunct w:val="0"/>
        <w:autoSpaceDE/>
        <w:autoSpaceDN/>
        <w:bidi w:val="0"/>
        <w:adjustRightInd/>
        <w:snapToGrid/>
        <w:rPr>
          <w:rFonts w:hint="eastAsia" w:ascii="方正仿宋_GBK" w:hAnsi="方正仿宋_GBK" w:eastAsia="方正仿宋_GBK" w:cs="方正仿宋_GBK"/>
          <w:color w:val="auto"/>
          <w:sz w:val="32"/>
          <w:szCs w:val="32"/>
          <w:highlight w:val="none"/>
        </w:rPr>
      </w:pPr>
    </w:p>
    <w:p w14:paraId="6DB44A82">
      <w:pPr>
        <w:pStyle w:val="2"/>
        <w:keepNext/>
        <w:keepLines/>
        <w:pageBreakBefore w:val="0"/>
        <w:widowControl/>
        <w:kinsoku/>
        <w:wordWrap/>
        <w:overflowPunct/>
        <w:topLinePunct w:val="0"/>
        <w:autoSpaceDE/>
        <w:autoSpaceDN/>
        <w:bidi w:val="0"/>
        <w:adjustRightInd/>
        <w:snapToGrid/>
        <w:textAlignment w:val="auto"/>
        <w:rPr>
          <w:rFonts w:hint="eastAsia" w:ascii="方正小标宋_GBK" w:hAnsi="方正小标宋_GBK" w:eastAsia="方正小标宋_GBK" w:cs="方正小标宋_GBK"/>
          <w:color w:val="auto"/>
          <w:spacing w:val="0"/>
          <w:sz w:val="44"/>
          <w:szCs w:val="44"/>
          <w:highlight w:val="none"/>
          <w:lang w:eastAsia="zh-CN"/>
        </w:rPr>
      </w:pPr>
      <w:r>
        <w:rPr>
          <w:rFonts w:hint="eastAsia" w:ascii="方正小标宋_GBK" w:hAnsi="方正小标宋_GBK" w:eastAsia="方正小标宋_GBK" w:cs="方正小标宋_GBK"/>
          <w:color w:val="auto"/>
          <w:spacing w:val="0"/>
          <w:sz w:val="44"/>
          <w:szCs w:val="44"/>
          <w:highlight w:val="none"/>
          <w:lang w:val="en-US" w:eastAsia="zh-CN"/>
        </w:rPr>
        <w:t>关于加强农村助老员队伍建设的通知</w:t>
      </w:r>
    </w:p>
    <w:p w14:paraId="688B6517">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center"/>
        <w:textAlignment w:val="auto"/>
        <w:rPr>
          <w:rFonts w:hint="eastAsia" w:ascii="方正仿宋_GBK" w:hAnsi="方正仿宋_GBK" w:eastAsia="方正仿宋_GBK" w:cs="方正仿宋_GBK"/>
          <w:color w:val="auto"/>
          <w:spacing w:val="0"/>
          <w:sz w:val="32"/>
          <w:szCs w:val="32"/>
          <w:highlight w:val="none"/>
          <w:lang w:eastAsia="zh-CN"/>
        </w:rPr>
      </w:pPr>
    </w:p>
    <w:p w14:paraId="51B230C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各省、自治区、直辖市民政厅（局）、人力资源社会保障厅（局）、农业农村（农牧）厅（局、委），新疆生产建设兵团民政局、人力资源社会保障局、农业农村局：</w:t>
      </w:r>
    </w:p>
    <w:p w14:paraId="5F2BB24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为贯彻落实中共中央、国务院印发的《关于深化养老服务改革发展的意见》、《关于锚定农业农村现代化 扎实推进乡村全面振兴的意见》等部署要求，充分发挥常态化防止返贫致贫就业帮扶和就业困难人员援助等机制作用，</w:t>
      </w:r>
      <w:r>
        <w:rPr>
          <w:rFonts w:hint="eastAsia" w:cs="方正仿宋_GBK"/>
          <w:color w:val="auto"/>
          <w:spacing w:val="0"/>
          <w:sz w:val="32"/>
          <w:szCs w:val="32"/>
          <w:highlight w:val="none"/>
          <w:lang w:val="en-US" w:eastAsia="zh-CN"/>
        </w:rPr>
        <w:t>坚持尽力而为、量力而行，坚持因地制宜、结合实际，</w:t>
      </w:r>
      <w:r>
        <w:rPr>
          <w:rFonts w:hint="eastAsia" w:ascii="方正仿宋_GBK" w:hAnsi="方正仿宋_GBK" w:eastAsia="方正仿宋_GBK" w:cs="方正仿宋_GBK"/>
          <w:color w:val="auto"/>
          <w:spacing w:val="0"/>
          <w:sz w:val="32"/>
          <w:szCs w:val="32"/>
          <w:highlight w:val="none"/>
          <w:lang w:val="en-US" w:eastAsia="zh-CN"/>
        </w:rPr>
        <w:t>加快补齐农村养老服务短板，现就加强农村助老员队伍建设有关事项通知如下：</w:t>
      </w:r>
    </w:p>
    <w:p w14:paraId="7C20531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黑体_GBK" w:hAnsi="方正黑体_GBK" w:eastAsia="方正黑体_GBK" w:cs="方正黑体_GBK"/>
          <w:color w:val="auto"/>
          <w:spacing w:val="0"/>
          <w:sz w:val="32"/>
          <w:szCs w:val="32"/>
          <w:highlight w:val="none"/>
          <w:lang w:val="en-US" w:eastAsia="zh-CN"/>
        </w:rPr>
      </w:pPr>
      <w:r>
        <w:rPr>
          <w:rFonts w:hint="eastAsia" w:ascii="方正黑体_GBK" w:hAnsi="方正黑体_GBK" w:eastAsia="方正黑体_GBK" w:cs="方正黑体_GBK"/>
          <w:color w:val="auto"/>
          <w:spacing w:val="0"/>
          <w:sz w:val="32"/>
          <w:szCs w:val="32"/>
          <w:highlight w:val="none"/>
          <w:lang w:val="en-US" w:eastAsia="zh-CN"/>
        </w:rPr>
        <w:t>一、充实农村助老员队伍</w:t>
      </w:r>
    </w:p>
    <w:p w14:paraId="06408240">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（一）发挥农村助老志愿者作用。</w:t>
      </w:r>
      <w:r>
        <w:rPr>
          <w:rFonts w:hint="eastAsia" w:ascii="方正仿宋_GBK" w:hAnsi="方正仿宋_GBK" w:eastAsia="方正仿宋_GBK" w:cs="方正仿宋_GBK"/>
          <w:color w:val="auto"/>
          <w:spacing w:val="0"/>
          <w:sz w:val="32"/>
          <w:szCs w:val="32"/>
          <w:highlight w:val="none"/>
          <w:lang w:val="en-US" w:eastAsia="zh-CN"/>
        </w:rPr>
        <w:t>深入开展“银龄行动”，鼓励有条件、有意愿的农村老年人担任农村助老员，以志愿服务形式参与探访关爱特殊困难老年人，提供生活照料、代买代办、助医助餐、精神慰藉等服务。持续推动农村基层老年协会建设，将为老服务、互助服务、志愿服务等纳入协会章程，发挥桥梁纽带作用，及时了解老年人服务需求，组织老年志愿者开展为老志愿服务。</w:t>
      </w:r>
    </w:p>
    <w:p w14:paraId="2AC3EF6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（二）开发农村助老公益性岗位。</w:t>
      </w:r>
      <w:r>
        <w:rPr>
          <w:rFonts w:hint="eastAsia" w:ascii="方正仿宋_GBK" w:hAnsi="方正仿宋_GBK" w:eastAsia="方正仿宋_GBK" w:cs="方正仿宋_GBK"/>
          <w:color w:val="auto"/>
          <w:spacing w:val="0"/>
          <w:sz w:val="32"/>
          <w:szCs w:val="32"/>
          <w:highlight w:val="none"/>
          <w:lang w:val="en-US" w:eastAsia="zh-CN"/>
        </w:rPr>
        <w:t>根据当地防止返贫致贫对象（含继续帮扶的脱贫人口）和就业困难人员</w:t>
      </w:r>
      <w:r>
        <w:rPr>
          <w:rFonts w:hint="eastAsia" w:cs="方正仿宋_GBK"/>
          <w:color w:val="auto"/>
          <w:spacing w:val="0"/>
          <w:sz w:val="32"/>
          <w:szCs w:val="32"/>
          <w:highlight w:val="none"/>
          <w:lang w:val="en-US" w:eastAsia="zh-CN"/>
        </w:rPr>
        <w:t>等有劳动能力的困难群众</w:t>
      </w:r>
      <w:r>
        <w:rPr>
          <w:rFonts w:hint="eastAsia" w:ascii="方正仿宋_GBK" w:hAnsi="方正仿宋_GBK" w:eastAsia="方正仿宋_GBK" w:cs="方正仿宋_GBK"/>
          <w:color w:val="auto"/>
          <w:spacing w:val="0"/>
          <w:sz w:val="32"/>
          <w:szCs w:val="32"/>
          <w:highlight w:val="none"/>
          <w:lang w:val="en-US" w:eastAsia="zh-CN"/>
        </w:rPr>
        <w:t>帮扶需求，开发一批农村助老员公益性岗位，就近就便开展农村助老服务，按规定通过相关渠道资金给予岗位补贴。补贴标准原则上不高于当地最低工资标准。鼓励</w:t>
      </w:r>
      <w:r>
        <w:rPr>
          <w:rFonts w:hint="eastAsia" w:cs="方正仿宋_GBK"/>
          <w:color w:val="auto"/>
          <w:spacing w:val="0"/>
          <w:sz w:val="32"/>
          <w:szCs w:val="32"/>
          <w:highlight w:val="none"/>
          <w:lang w:val="en-US" w:eastAsia="zh-CN"/>
        </w:rPr>
        <w:t>各地按规定</w:t>
      </w:r>
      <w:r>
        <w:rPr>
          <w:rFonts w:hint="eastAsia" w:ascii="方正仿宋_GBK" w:hAnsi="方正仿宋_GBK" w:eastAsia="方正仿宋_GBK" w:cs="方正仿宋_GBK"/>
          <w:color w:val="auto"/>
          <w:spacing w:val="0"/>
          <w:sz w:val="32"/>
          <w:szCs w:val="32"/>
          <w:highlight w:val="none"/>
          <w:lang w:val="en-US" w:eastAsia="zh-CN"/>
        </w:rPr>
        <w:t>使用地方留存的福利彩票公益金、社会力量捐赠资金等支持农村助老服务发展</w:t>
      </w:r>
      <w:r>
        <w:rPr>
          <w:rFonts w:hint="eastAsia" w:cs="方正仿宋_GBK"/>
          <w:color w:val="auto"/>
          <w:spacing w:val="0"/>
          <w:sz w:val="32"/>
          <w:szCs w:val="32"/>
          <w:highlight w:val="none"/>
          <w:lang w:val="en-US" w:eastAsia="zh-CN"/>
        </w:rPr>
        <w:t>。支持有条件的农村集体经济组织在履行民主程序的基础上，依法将集体收益用于助老服务</w:t>
      </w:r>
      <w:r>
        <w:rPr>
          <w:rFonts w:hint="eastAsia" w:ascii="方正仿宋_GBK" w:hAnsi="方正仿宋_GBK" w:eastAsia="方正仿宋_GBK" w:cs="方正仿宋_GBK"/>
          <w:color w:val="auto"/>
          <w:spacing w:val="0"/>
          <w:sz w:val="32"/>
          <w:szCs w:val="32"/>
          <w:highlight w:val="none"/>
          <w:lang w:val="en-US" w:eastAsia="zh-CN"/>
        </w:rPr>
        <w:t>。</w:t>
      </w:r>
    </w:p>
    <w:p w14:paraId="5C44DB48">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（三）鼓励养老服务机构提供助老服务。</w:t>
      </w:r>
      <w:r>
        <w:rPr>
          <w:rFonts w:hint="eastAsia" w:ascii="方正仿宋_GBK" w:hAnsi="方正仿宋_GBK" w:eastAsia="方正仿宋_GBK" w:cs="方正仿宋_GBK"/>
          <w:color w:val="auto"/>
          <w:spacing w:val="0"/>
          <w:sz w:val="32"/>
          <w:szCs w:val="32"/>
          <w:highlight w:val="none"/>
          <w:lang w:val="en-US" w:eastAsia="zh-CN"/>
        </w:rPr>
        <w:t>积极发挥养老服务机构专业优势，通过组建农村助老服务团队等方式，为农村老年人提供社会化助老服务。引导各类养老服务机构采取开放机构设施资源、设立服务站点、提供专业指导等方式，支持农村助老员开展服务。鼓励养老服务机构优先吸纳就业困难群体务工就业，按规定落实税费减免、社会保险补贴等政策。</w:t>
      </w:r>
    </w:p>
    <w:p w14:paraId="2B114A1E">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黑体_GBK" w:hAnsi="方正黑体_GBK" w:eastAsia="方正黑体_GBK" w:cs="方正黑体_GBK"/>
          <w:color w:val="auto"/>
          <w:spacing w:val="0"/>
          <w:sz w:val="32"/>
          <w:szCs w:val="32"/>
          <w:highlight w:val="none"/>
          <w:lang w:val="en-US" w:eastAsia="zh-CN"/>
        </w:rPr>
      </w:pPr>
      <w:r>
        <w:rPr>
          <w:rFonts w:hint="eastAsia" w:ascii="方正黑体_GBK" w:hAnsi="方正黑体_GBK" w:eastAsia="方正黑体_GBK" w:cs="方正黑体_GBK"/>
          <w:color w:val="auto"/>
          <w:spacing w:val="0"/>
          <w:sz w:val="32"/>
          <w:szCs w:val="32"/>
          <w:highlight w:val="none"/>
          <w:lang w:val="en-US" w:eastAsia="zh-CN"/>
        </w:rPr>
        <w:t>二、明确农村助老员服务内容</w:t>
      </w:r>
    </w:p>
    <w:p w14:paraId="3B53A188">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（一）服务需求收集和资源链接。</w:t>
      </w:r>
      <w:r>
        <w:rPr>
          <w:rFonts w:hint="eastAsia" w:ascii="方正仿宋_GBK" w:hAnsi="方正仿宋_GBK" w:eastAsia="方正仿宋_GBK" w:cs="方正仿宋_GBK"/>
          <w:color w:val="auto"/>
          <w:spacing w:val="0"/>
          <w:sz w:val="32"/>
          <w:szCs w:val="32"/>
          <w:highlight w:val="none"/>
          <w:lang w:val="en-US" w:eastAsia="zh-CN"/>
        </w:rPr>
        <w:t>及时收集农村老年人生活照料、失能照护、精神慰藉等养老服务需求，协助向养老服务机构转介需求、链接服务资源。</w:t>
      </w:r>
    </w:p>
    <w:p w14:paraId="149F8434">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（二）政策和知识宣传。</w:t>
      </w:r>
      <w:r>
        <w:rPr>
          <w:rFonts w:hint="eastAsia" w:ascii="方正仿宋_GBK" w:hAnsi="方正仿宋_GBK" w:eastAsia="方正仿宋_GBK" w:cs="方正仿宋_GBK"/>
          <w:color w:val="auto"/>
          <w:spacing w:val="0"/>
          <w:sz w:val="32"/>
          <w:szCs w:val="32"/>
          <w:highlight w:val="none"/>
          <w:lang w:val="en-US" w:eastAsia="zh-CN"/>
        </w:rPr>
        <w:t>向农村老年人及其家庭宣传养老服务有关政策，普及老年人健康管理、灾害应急、诈骗防范等有关知识。</w:t>
      </w:r>
    </w:p>
    <w:p w14:paraId="0A87FE5C">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（三）紧急援助。</w:t>
      </w:r>
      <w:r>
        <w:rPr>
          <w:rFonts w:hint="eastAsia" w:ascii="方正仿宋_GBK" w:hAnsi="方正仿宋_GBK" w:eastAsia="方正仿宋_GBK" w:cs="方正仿宋_GBK"/>
          <w:color w:val="auto"/>
          <w:spacing w:val="0"/>
          <w:sz w:val="32"/>
          <w:szCs w:val="32"/>
          <w:highlight w:val="none"/>
          <w:lang w:val="en-US" w:eastAsia="zh-CN"/>
        </w:rPr>
        <w:t>发现农村老年人出现紧急情况时，提供力所能及的紧急援助，并及时通知其赡养人、扶养人或有关部门和单位。</w:t>
      </w:r>
    </w:p>
    <w:p w14:paraId="455AB239">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（四）探访关爱。</w:t>
      </w:r>
      <w:r>
        <w:rPr>
          <w:rFonts w:hint="eastAsia" w:ascii="方正仿宋_GBK" w:hAnsi="方正仿宋_GBK" w:eastAsia="方正仿宋_GBK" w:cs="方正仿宋_GBK"/>
          <w:color w:val="auto"/>
          <w:spacing w:val="0"/>
          <w:sz w:val="32"/>
          <w:szCs w:val="32"/>
          <w:highlight w:val="none"/>
          <w:lang w:val="en-US" w:eastAsia="zh-CN"/>
        </w:rPr>
        <w:t>面向独居、空巢、失能、重残等特殊困难老年人提供探访关爱服务，协助乡镇（街道）建立好探访关爱服务台账。</w:t>
      </w:r>
    </w:p>
    <w:p w14:paraId="3920F3D2">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（五）其他服务。</w:t>
      </w:r>
      <w:r>
        <w:rPr>
          <w:rFonts w:hint="eastAsia" w:ascii="方正仿宋_GBK" w:hAnsi="方正仿宋_GBK" w:eastAsia="方正仿宋_GBK" w:cs="方正仿宋_GBK"/>
          <w:color w:val="auto"/>
          <w:spacing w:val="0"/>
          <w:sz w:val="32"/>
          <w:szCs w:val="32"/>
          <w:highlight w:val="none"/>
          <w:lang w:val="en-US" w:eastAsia="zh-CN"/>
        </w:rPr>
        <w:t>协助村（居）民委员会开展互助性养老服务、老年助餐服务，做好村（社区）养老服务设施站点的日常管理与服务工作。</w:t>
      </w:r>
      <w:r>
        <w:rPr>
          <w:rFonts w:hint="eastAsia" w:cs="方正仿宋_GBK"/>
          <w:color w:val="auto"/>
          <w:spacing w:val="0"/>
          <w:sz w:val="32"/>
          <w:szCs w:val="32"/>
          <w:highlight w:val="none"/>
          <w:lang w:val="en-US" w:eastAsia="zh-CN"/>
        </w:rPr>
        <w:t>协助为社会救助对象中的老年人提供服务类社会救助。</w:t>
      </w:r>
      <w:r>
        <w:rPr>
          <w:rFonts w:hint="eastAsia" w:ascii="方正仿宋_GBK" w:hAnsi="方正仿宋_GBK" w:eastAsia="方正仿宋_GBK" w:cs="方正仿宋_GBK"/>
          <w:color w:val="auto"/>
          <w:spacing w:val="0"/>
          <w:sz w:val="32"/>
          <w:szCs w:val="32"/>
          <w:highlight w:val="none"/>
          <w:lang w:val="en-US" w:eastAsia="zh-CN"/>
        </w:rPr>
        <w:t>农村助老员可通过协商方式为有需求的老年人无偿或低偿提供助餐、助医、助洁、助行等服务。</w:t>
      </w:r>
    </w:p>
    <w:p w14:paraId="10087E58">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黑体_GBK" w:hAnsi="方正黑体_GBK" w:eastAsia="方正黑体_GBK" w:cs="方正黑体_GBK"/>
          <w:color w:val="auto"/>
          <w:spacing w:val="0"/>
          <w:sz w:val="32"/>
          <w:szCs w:val="32"/>
          <w:highlight w:val="none"/>
          <w:lang w:val="en-US" w:eastAsia="zh-CN"/>
        </w:rPr>
      </w:pPr>
      <w:r>
        <w:rPr>
          <w:rFonts w:hint="eastAsia" w:ascii="方正黑体_GBK" w:hAnsi="方正黑体_GBK" w:eastAsia="方正黑体_GBK" w:cs="方正黑体_GBK"/>
          <w:color w:val="auto"/>
          <w:spacing w:val="0"/>
          <w:sz w:val="32"/>
          <w:szCs w:val="32"/>
          <w:highlight w:val="none"/>
          <w:lang w:val="en-US" w:eastAsia="zh-CN"/>
        </w:rPr>
        <w:t>三、规范农村助老员管理</w:t>
      </w:r>
    </w:p>
    <w:p w14:paraId="32BB2FA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（一）合理配置岗位。</w:t>
      </w:r>
      <w:r>
        <w:rPr>
          <w:rFonts w:hint="eastAsia" w:ascii="方正仿宋_GBK" w:hAnsi="方正仿宋_GBK" w:eastAsia="方正仿宋_GBK" w:cs="方正仿宋_GBK"/>
          <w:color w:val="auto"/>
          <w:spacing w:val="0"/>
          <w:sz w:val="32"/>
          <w:szCs w:val="32"/>
          <w:highlight w:val="none"/>
          <w:lang w:val="en-US" w:eastAsia="zh-CN"/>
        </w:rPr>
        <w:t>鼓励各地因地制宜，根据当地农村人口老龄化程度、老年人口数量和助老服务需求等，按村（社区）明确农村助老员数量。常住人口老龄化率超过30%或独居、空巢、失能、重残等特殊困难老年人口超过100人的村（社区），原则上可配备2名农村助老员。常住人口老龄化率超过20%或特殊困难老年人口超过50人的村（社区），以及常住人口老龄化率低于20%但老年人口较多的村（社区），原则上可配备1名农村助老员。其</w:t>
      </w:r>
      <w:r>
        <w:rPr>
          <w:rFonts w:hint="eastAsia" w:cs="方正仿宋_GBK"/>
          <w:color w:val="auto"/>
          <w:spacing w:val="0"/>
          <w:sz w:val="32"/>
          <w:szCs w:val="32"/>
          <w:highlight w:val="none"/>
          <w:lang w:val="en-US" w:eastAsia="zh-CN"/>
        </w:rPr>
        <w:t>他</w:t>
      </w:r>
      <w:r>
        <w:rPr>
          <w:rFonts w:hint="eastAsia" w:ascii="方正仿宋_GBK" w:hAnsi="方正仿宋_GBK" w:eastAsia="方正仿宋_GBK" w:cs="方正仿宋_GBK"/>
          <w:color w:val="auto"/>
          <w:spacing w:val="0"/>
          <w:sz w:val="32"/>
          <w:szCs w:val="32"/>
          <w:highlight w:val="none"/>
          <w:lang w:val="en-US" w:eastAsia="zh-CN"/>
        </w:rPr>
        <w:t>村（社区）可根据需要与周边村（社区）联合配备农村助老员。</w:t>
      </w:r>
    </w:p>
    <w:p w14:paraId="6CF552A1">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（二）加强技能培训。</w:t>
      </w:r>
      <w:r>
        <w:rPr>
          <w:rFonts w:hint="eastAsia" w:ascii="方正仿宋_GBK" w:hAnsi="方正仿宋_GBK" w:eastAsia="方正仿宋_GBK" w:cs="方正仿宋_GBK"/>
          <w:color w:val="auto"/>
          <w:spacing w:val="0"/>
          <w:sz w:val="32"/>
          <w:szCs w:val="32"/>
          <w:highlight w:val="none"/>
          <w:lang w:val="en-US" w:eastAsia="zh-CN"/>
        </w:rPr>
        <w:t>各地重点围绕养老服务相关法律法规政策、居家上门养老服务实操技能以及安全防范、应急处置等内容，对农村助老员加强技能培训，提升综合素质和服务实操能力。健全常态化支持保障机制，充分发挥县级综合养老服务管理平台、乡镇（街道）区域养老服务中心功能作用，强化对农村助老员的服务示范、技能指导和资源支持。</w:t>
      </w:r>
    </w:p>
    <w:p w14:paraId="15A1C35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（三）严格服务评价。</w:t>
      </w:r>
      <w:r>
        <w:rPr>
          <w:rFonts w:hint="eastAsia" w:ascii="方正仿宋_GBK" w:hAnsi="方正仿宋_GBK" w:eastAsia="方正仿宋_GBK" w:cs="方正仿宋_GBK"/>
          <w:color w:val="auto"/>
          <w:spacing w:val="0"/>
          <w:sz w:val="32"/>
          <w:szCs w:val="32"/>
          <w:highlight w:val="none"/>
          <w:lang w:val="en-US" w:eastAsia="zh-CN"/>
        </w:rPr>
        <w:t>农村助老员应优先安排孝亲敬老、有爱心、有热心、有责任心的人员。各地要坚持支持发展与规范管理并重，做好助老服务效果评价，加强质效管理，改进助老服务内容和方式；对服务效果好、群众满意度高的农村助老员可采取适当方式给予表扬激励。鼓励依托基层社会工作服务站（民政服务站）等专业力量，协助做好助老服务效果评价。</w:t>
      </w:r>
    </w:p>
    <w:p w14:paraId="0663DBE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（四）明确部门职责。</w:t>
      </w:r>
      <w:r>
        <w:rPr>
          <w:rFonts w:hint="eastAsia" w:ascii="方正仿宋_GBK" w:hAnsi="方正仿宋_GBK" w:eastAsia="方正仿宋_GBK" w:cs="方正仿宋_GBK"/>
          <w:color w:val="auto"/>
          <w:spacing w:val="0"/>
          <w:sz w:val="32"/>
          <w:szCs w:val="32"/>
          <w:highlight w:val="none"/>
          <w:lang w:val="en-US" w:eastAsia="zh-CN"/>
        </w:rPr>
        <w:t>各地要</w:t>
      </w:r>
      <w:r>
        <w:rPr>
          <w:rFonts w:hint="eastAsia" w:cs="方正仿宋_GBK"/>
          <w:color w:val="auto"/>
          <w:spacing w:val="0"/>
          <w:sz w:val="32"/>
          <w:szCs w:val="32"/>
          <w:highlight w:val="none"/>
          <w:lang w:val="en-US" w:eastAsia="zh-CN"/>
        </w:rPr>
        <w:t>根据本地条件，</w:t>
      </w:r>
      <w:r>
        <w:rPr>
          <w:rFonts w:hint="eastAsia" w:ascii="方正仿宋_GBK" w:hAnsi="方正仿宋_GBK" w:eastAsia="方正仿宋_GBK" w:cs="方正仿宋_GBK"/>
          <w:color w:val="auto"/>
          <w:spacing w:val="0"/>
          <w:sz w:val="32"/>
          <w:szCs w:val="32"/>
          <w:highlight w:val="none"/>
          <w:lang w:val="en-US" w:eastAsia="zh-CN"/>
        </w:rPr>
        <w:t>统筹农村助老服务和扩大乡村就业两方面需求，扩大农村助老服务供给，提升农村养老服务发展水平。各级民政部门要履行牵头职责，会同人力资源社会保障、农业农村等部门推进农村助老员队伍建设，积极开发设置农村助老公益性岗位</w:t>
      </w:r>
      <w:r>
        <w:rPr>
          <w:rFonts w:hint="eastAsia" w:cs="方正仿宋_GBK"/>
          <w:color w:val="auto"/>
          <w:spacing w:val="0"/>
          <w:sz w:val="32"/>
          <w:szCs w:val="32"/>
          <w:highlight w:val="none"/>
          <w:lang w:val="en-US" w:eastAsia="zh-CN"/>
        </w:rPr>
        <w:t>；</w:t>
      </w:r>
      <w:r>
        <w:rPr>
          <w:rFonts w:hint="eastAsia" w:ascii="方正仿宋_GBK" w:hAnsi="方正仿宋_GBK" w:eastAsia="方正仿宋_GBK" w:cs="方正仿宋_GBK"/>
          <w:color w:val="auto"/>
          <w:spacing w:val="0"/>
          <w:sz w:val="32"/>
          <w:szCs w:val="32"/>
          <w:highlight w:val="none"/>
          <w:lang w:val="en-US" w:eastAsia="zh-CN"/>
        </w:rPr>
        <w:t>做好农村助老员队伍使用管理工作，协调推进农村社会治理与养老服务体系建设</w:t>
      </w:r>
      <w:r>
        <w:rPr>
          <w:rFonts w:hint="eastAsia" w:cs="方正仿宋_GBK"/>
          <w:color w:val="auto"/>
          <w:spacing w:val="0"/>
          <w:sz w:val="32"/>
          <w:szCs w:val="32"/>
          <w:highlight w:val="none"/>
          <w:lang w:val="en-US" w:eastAsia="zh-CN"/>
        </w:rPr>
        <w:t>；加强动态跟踪，总结推广典型经验做法，积极营造全社会关心关爱老年人的良好氛围。</w:t>
      </w:r>
    </w:p>
    <w:p w14:paraId="54B7EA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p>
    <w:p w14:paraId="35E5DD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p>
    <w:p w14:paraId="1BA797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民政部办公厅</w:t>
      </w:r>
    </w:p>
    <w:p w14:paraId="7F2F56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人力资源社会保障部办公厅</w:t>
      </w:r>
    </w:p>
    <w:p w14:paraId="08DCE9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农业农村部办公厅</w:t>
      </w:r>
    </w:p>
    <w:p w14:paraId="0C8186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2026年</w:t>
      </w:r>
      <w:r>
        <w:rPr>
          <w:rFonts w:hint="eastAsia" w:cs="方正仿宋_GBK"/>
          <w:color w:val="auto"/>
          <w:spacing w:val="0"/>
          <w:sz w:val="32"/>
          <w:szCs w:val="32"/>
          <w:highlight w:val="none"/>
          <w:lang w:val="en-US" w:eastAsia="zh-CN"/>
        </w:rPr>
        <w:t>9</w:t>
      </w:r>
      <w:r>
        <w:rPr>
          <w:rFonts w:hint="eastAsia" w:ascii="方正仿宋_GBK" w:hAnsi="方正仿宋_GBK" w:eastAsia="方正仿宋_GBK" w:cs="方正仿宋_GBK"/>
          <w:color w:val="auto"/>
          <w:spacing w:val="0"/>
          <w:sz w:val="32"/>
          <w:szCs w:val="32"/>
          <w:highlight w:val="none"/>
          <w:lang w:val="en-US" w:eastAsia="zh-CN"/>
        </w:rPr>
        <w:t>月</w:t>
      </w:r>
      <w:r>
        <w:rPr>
          <w:rFonts w:hint="eastAsia" w:cs="方正仿宋_GBK"/>
          <w:color w:val="auto"/>
          <w:spacing w:val="0"/>
          <w:sz w:val="32"/>
          <w:szCs w:val="32"/>
          <w:highlight w:val="none"/>
          <w:lang w:val="en-US" w:eastAsia="zh-CN"/>
        </w:rPr>
        <w:t>14</w:t>
      </w:r>
      <w:r>
        <w:rPr>
          <w:rFonts w:hint="eastAsia" w:ascii="方正仿宋_GBK" w:hAnsi="方正仿宋_GBK" w:eastAsia="方正仿宋_GBK" w:cs="方正仿宋_GBK"/>
          <w:color w:val="auto"/>
          <w:spacing w:val="0"/>
          <w:sz w:val="32"/>
          <w:szCs w:val="32"/>
          <w:highlight w:val="none"/>
          <w:lang w:val="en-US" w:eastAsia="zh-CN"/>
        </w:rPr>
        <w:t>日</w:t>
      </w:r>
      <w:bookmarkStart w:id="0" w:name="_GoBack"/>
      <w:bookmarkEnd w:id="0"/>
    </w:p>
    <w:p w14:paraId="1B9ECA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p>
    <w:p w14:paraId="01AEB42E">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方正仿宋_GBK" w:hAnsi="方正仿宋_GBK" w:eastAsia="方正仿宋_GBK" w:cs="方正仿宋_GBK"/>
          <w:b w:val="0"/>
          <w:bCs w:val="0"/>
          <w:snapToGrid/>
          <w:color w:val="auto"/>
          <w:spacing w:val="0"/>
          <w:kern w:val="0"/>
          <w:sz w:val="32"/>
          <w:szCs w:val="32"/>
          <w:highlight w:val="none"/>
          <w:u w:val="none" w:color="auto"/>
          <w:lang w:val="en-US" w:eastAsia="zh-CN" w:bidi="ar-SA"/>
        </w:rPr>
      </w:pPr>
    </w:p>
    <w:p w14:paraId="6A703C3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right="0" w:rightChars="0" w:firstLine="640" w:firstLineChars="200"/>
        <w:jc w:val="both"/>
        <w:textAlignment w:val="auto"/>
        <w:outlineLvl w:val="9"/>
        <w:rPr>
          <w:rFonts w:hint="default" w:ascii="方正仿宋_GBK" w:hAnsi="方正仿宋_GBK" w:eastAsia="方正仿宋_GBK" w:cs="方正仿宋_GBK"/>
          <w:b w:val="0"/>
          <w:bCs w:val="0"/>
          <w:snapToGrid/>
          <w:color w:val="auto"/>
          <w:spacing w:val="0"/>
          <w:kern w:val="0"/>
          <w:sz w:val="32"/>
          <w:szCs w:val="32"/>
          <w:highlight w:val="none"/>
          <w:u w:val="none" w:color="auto"/>
          <w:lang w:val="en-US" w:eastAsia="zh-CN" w:bidi="ar-SA"/>
        </w:rPr>
      </w:pPr>
    </w:p>
    <w:sectPr>
      <w:footerReference r:id="rId5" w:type="default"/>
      <w:pgSz w:w="11906" w:h="16838"/>
      <w:pgMar w:top="1440" w:right="1800" w:bottom="1440" w:left="180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2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7A5DD">
    <w:pPr>
      <w:pStyle w:val="7"/>
      <w:rPr>
        <w:rFonts w:eastAsia="方正仿宋_GBK"/>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C40707">
                          <w:pPr>
                            <w:snapToGrid w:val="0"/>
                            <w:ind w:left="0" w:leftChars="0" w:firstLine="0" w:firstLineChars="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4C40707">
                    <w:pPr>
                      <w:snapToGrid w:val="0"/>
                      <w:ind w:left="0" w:leftChars="0" w:firstLine="0" w:firstLineChars="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3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8B18F4"/>
    <w:rsid w:val="03C71A42"/>
    <w:rsid w:val="0D8B18F4"/>
    <w:rsid w:val="0E4E5304"/>
    <w:rsid w:val="11A256FB"/>
    <w:rsid w:val="11C23A31"/>
    <w:rsid w:val="12A771A7"/>
    <w:rsid w:val="13EB1DBD"/>
    <w:rsid w:val="15E7507B"/>
    <w:rsid w:val="17543053"/>
    <w:rsid w:val="17E3743F"/>
    <w:rsid w:val="1C990377"/>
    <w:rsid w:val="1E2458FF"/>
    <w:rsid w:val="1EFF3290"/>
    <w:rsid w:val="1F142C89"/>
    <w:rsid w:val="1F4F7365"/>
    <w:rsid w:val="1FCD6480"/>
    <w:rsid w:val="1FEE7ECF"/>
    <w:rsid w:val="1FFD8A29"/>
    <w:rsid w:val="2284712E"/>
    <w:rsid w:val="235F5B97"/>
    <w:rsid w:val="242F7169"/>
    <w:rsid w:val="25D3422F"/>
    <w:rsid w:val="25E96474"/>
    <w:rsid w:val="296609FB"/>
    <w:rsid w:val="2BF166BD"/>
    <w:rsid w:val="2D190E0B"/>
    <w:rsid w:val="2E8E41F0"/>
    <w:rsid w:val="2F37A007"/>
    <w:rsid w:val="2F3C2D91"/>
    <w:rsid w:val="2FA57C98"/>
    <w:rsid w:val="2FF7F1BB"/>
    <w:rsid w:val="309C7661"/>
    <w:rsid w:val="33EC20BE"/>
    <w:rsid w:val="33F7461F"/>
    <w:rsid w:val="33FBD518"/>
    <w:rsid w:val="37D0E5FC"/>
    <w:rsid w:val="37DF32B8"/>
    <w:rsid w:val="37F724C9"/>
    <w:rsid w:val="3D7D954A"/>
    <w:rsid w:val="3FA968BE"/>
    <w:rsid w:val="3FFF291E"/>
    <w:rsid w:val="41B536F3"/>
    <w:rsid w:val="440C5FB1"/>
    <w:rsid w:val="4CB229E2"/>
    <w:rsid w:val="4D5634F0"/>
    <w:rsid w:val="4E33C2D6"/>
    <w:rsid w:val="4EBCF940"/>
    <w:rsid w:val="506F3702"/>
    <w:rsid w:val="55C5E75D"/>
    <w:rsid w:val="56AA353D"/>
    <w:rsid w:val="583F13D4"/>
    <w:rsid w:val="5B01445B"/>
    <w:rsid w:val="5BBB4509"/>
    <w:rsid w:val="5CBFEA86"/>
    <w:rsid w:val="5F6FCCDF"/>
    <w:rsid w:val="5FFFF790"/>
    <w:rsid w:val="6278A665"/>
    <w:rsid w:val="635EA457"/>
    <w:rsid w:val="687C6A0A"/>
    <w:rsid w:val="6BDDA1B7"/>
    <w:rsid w:val="6BEF9EB0"/>
    <w:rsid w:val="6D9E6164"/>
    <w:rsid w:val="6DF3A56B"/>
    <w:rsid w:val="6DFE0ACF"/>
    <w:rsid w:val="6EA56D16"/>
    <w:rsid w:val="6EB1CFFE"/>
    <w:rsid w:val="6EE1F0C8"/>
    <w:rsid w:val="6F686A54"/>
    <w:rsid w:val="726751B2"/>
    <w:rsid w:val="73E82D35"/>
    <w:rsid w:val="74FD067F"/>
    <w:rsid w:val="75B9B6BE"/>
    <w:rsid w:val="766F6DB3"/>
    <w:rsid w:val="76FDBC17"/>
    <w:rsid w:val="770551D1"/>
    <w:rsid w:val="775B8AA8"/>
    <w:rsid w:val="77E5FC46"/>
    <w:rsid w:val="77F7B4B4"/>
    <w:rsid w:val="79B7BA9A"/>
    <w:rsid w:val="7AFF37D8"/>
    <w:rsid w:val="7B5E2785"/>
    <w:rsid w:val="7BBB25FD"/>
    <w:rsid w:val="7BBF6D82"/>
    <w:rsid w:val="7BFF9B14"/>
    <w:rsid w:val="7C9DF5F3"/>
    <w:rsid w:val="7CBC28EC"/>
    <w:rsid w:val="7D778E4C"/>
    <w:rsid w:val="7DB6534C"/>
    <w:rsid w:val="7E7D6455"/>
    <w:rsid w:val="7EDFB100"/>
    <w:rsid w:val="7F273B21"/>
    <w:rsid w:val="7F73EF18"/>
    <w:rsid w:val="7F7F0035"/>
    <w:rsid w:val="7F97A8BF"/>
    <w:rsid w:val="7FBE7EDA"/>
    <w:rsid w:val="7FCCDE42"/>
    <w:rsid w:val="7FCFEA0A"/>
    <w:rsid w:val="7FE62942"/>
    <w:rsid w:val="7FE6772E"/>
    <w:rsid w:val="7FFB9F2F"/>
    <w:rsid w:val="8BEBE12E"/>
    <w:rsid w:val="8E7FD760"/>
    <w:rsid w:val="B3B7E368"/>
    <w:rsid w:val="B9FD0390"/>
    <w:rsid w:val="BCCF1195"/>
    <w:rsid w:val="BCF56393"/>
    <w:rsid w:val="BEFEEA01"/>
    <w:rsid w:val="BEFF6220"/>
    <w:rsid w:val="BF0FBE65"/>
    <w:rsid w:val="BF7CFEC1"/>
    <w:rsid w:val="BF7FCABD"/>
    <w:rsid w:val="BF9EBFD0"/>
    <w:rsid w:val="BFF8582D"/>
    <w:rsid w:val="BFF97AA3"/>
    <w:rsid w:val="BFFF2216"/>
    <w:rsid w:val="C5CEB778"/>
    <w:rsid w:val="C8FFD36F"/>
    <w:rsid w:val="CA876513"/>
    <w:rsid w:val="CBF97C43"/>
    <w:rsid w:val="D37F4736"/>
    <w:rsid w:val="D6F27AD0"/>
    <w:rsid w:val="DC6B90E4"/>
    <w:rsid w:val="DEDF50BD"/>
    <w:rsid w:val="DFEF8122"/>
    <w:rsid w:val="DFFFF8B5"/>
    <w:rsid w:val="E3DF0F0D"/>
    <w:rsid w:val="ED6E7483"/>
    <w:rsid w:val="EF7E1F2B"/>
    <w:rsid w:val="EFDDB399"/>
    <w:rsid w:val="F2FFBBF9"/>
    <w:rsid w:val="F72DF631"/>
    <w:rsid w:val="F75E9A5D"/>
    <w:rsid w:val="F7BD9303"/>
    <w:rsid w:val="F9C70AFC"/>
    <w:rsid w:val="F9DF84E3"/>
    <w:rsid w:val="FBD5214E"/>
    <w:rsid w:val="FEF77BF3"/>
    <w:rsid w:val="FF7541B1"/>
    <w:rsid w:val="FF7AB5DE"/>
    <w:rsid w:val="FFCB4B41"/>
    <w:rsid w:val="FFDE192E"/>
    <w:rsid w:val="FFFFB8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overflowPunct w:val="0"/>
      <w:spacing w:line="560" w:lineRule="exact"/>
      <w:ind w:firstLine="561" w:firstLineChars="200"/>
      <w:jc w:val="both"/>
    </w:pPr>
    <w:rPr>
      <w:rFonts w:ascii="方正仿宋_GBK" w:hAnsi="方正仿宋_GBK" w:eastAsia="方正仿宋_GBK" w:cs="方正仿宋_GBK"/>
      <w:kern w:val="2"/>
      <w:sz w:val="32"/>
      <w:szCs w:val="32"/>
      <w:lang w:val="en-US" w:eastAsia="zh-CN" w:bidi="ar-SA"/>
    </w:rPr>
  </w:style>
  <w:style w:type="paragraph" w:styleId="2">
    <w:name w:val="heading 1"/>
    <w:next w:val="1"/>
    <w:qFormat/>
    <w:uiPriority w:val="9"/>
    <w:pPr>
      <w:keepNext/>
      <w:keepLines/>
      <w:spacing w:beforeLines="0" w:beforeAutospacing="0" w:afterLines="0" w:afterAutospacing="0" w:line="700" w:lineRule="exact"/>
      <w:jc w:val="center"/>
      <w:outlineLvl w:val="0"/>
    </w:pPr>
    <w:rPr>
      <w:rFonts w:ascii="Times New Roman" w:hAnsi="Times New Roman" w:eastAsia="方正小标宋简体" w:cs="方正小标宋简体"/>
      <w:kern w:val="44"/>
      <w:sz w:val="44"/>
      <w:szCs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unhideWhenUsed/>
    <w:uiPriority w:val="0"/>
  </w:style>
  <w:style w:type="table" w:default="1" w:styleId="9">
    <w:name w:val="Normal Table"/>
    <w:unhideWhenUsed/>
    <w:uiPriority w:val="99"/>
    <w:tblPr>
      <w:tblStyle w:val="9"/>
      <w:tblCellMar>
        <w:top w:w="0" w:type="dxa"/>
        <w:left w:w="108" w:type="dxa"/>
        <w:bottom w:w="0" w:type="dxa"/>
        <w:right w:w="108" w:type="dxa"/>
      </w:tblCellMar>
    </w:tblPr>
  </w:style>
  <w:style w:type="paragraph" w:styleId="5">
    <w:name w:val="Body Text Indent"/>
    <w:uiPriority w:val="0"/>
    <w:pPr>
      <w:widowControl w:val="0"/>
      <w:ind w:firstLine="640" w:firstLineChars="200"/>
      <w:jc w:val="both"/>
    </w:pPr>
    <w:rPr>
      <w:rFonts w:ascii="仿宋_GB2312" w:hAnsi="等线" w:eastAsia="仿宋_GB2312" w:cs="等线"/>
      <w:kern w:val="2"/>
      <w:sz w:val="32"/>
      <w:szCs w:val="32"/>
      <w:lang w:val="en-US" w:eastAsia="zh-CN" w:bidi="ar-SA"/>
    </w:rPr>
  </w:style>
  <w:style w:type="paragraph" w:styleId="6">
    <w:name w:val="toc 3"/>
    <w:basedOn w:val="1"/>
    <w:next w:val="1"/>
    <w:qFormat/>
    <w:uiPriority w:val="0"/>
    <w:pPr>
      <w:ind w:left="420"/>
    </w:pPr>
    <w:rPr>
      <w:rFonts w:ascii="等线" w:hAnsi="等线" w:eastAsia="等线"/>
      <w:b/>
      <w:sz w:val="30"/>
      <w:szCs w:val="30"/>
    </w:rPr>
  </w:style>
  <w:style w:type="paragraph" w:styleId="7">
    <w:name w:val="footer"/>
    <w:basedOn w:val="1"/>
    <w:unhideWhenUsed/>
    <w:uiPriority w:val="0"/>
    <w:pPr>
      <w:tabs>
        <w:tab w:val="center" w:pos="4153"/>
        <w:tab w:val="right" w:pos="8306"/>
      </w:tabs>
      <w:snapToGrid w:val="0"/>
      <w:jc w:val="left"/>
    </w:pPr>
    <w:rPr>
      <w:sz w:val="18"/>
    </w:rPr>
  </w:style>
  <w:style w:type="paragraph" w:styleId="8">
    <w:name w:val="header"/>
    <w:basedOn w:val="1"/>
    <w:unhideWhenUsed/>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1">
    <w:name w:val="样式1"/>
    <w:uiPriority w:val="0"/>
    <w:pPr>
      <w:spacing w:line="560" w:lineRule="exact"/>
      <w:ind w:firstLine="561" w:firstLineChars="200"/>
    </w:pPr>
    <w:rPr>
      <w:rFonts w:ascii="Times New Roman" w:hAnsi="Times New Roman" w:eastAsia="方正仿宋_GBK"/>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4</Pages>
  <Words>1953</Words>
  <Characters>1966</Characters>
  <Lines>1</Lines>
  <Paragraphs>1</Paragraphs>
  <TotalTime>66.3333333333333</TotalTime>
  <ScaleCrop>false</ScaleCrop>
  <LinksUpToDate>false</LinksUpToDate>
  <CharactersWithSpaces>2045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2021-05-22T09:21:00Z</dcterms:created>
  <dc:creator>wangqi</dc:creator>
  <cp:lastModifiedBy>安如少年初如梦</cp:lastModifiedBy>
  <cp:lastPrinted>2021-05-22T14:08:23Z</cp:lastPrinted>
  <dcterms:modified xsi:type="dcterms:W3CDTF">2026-10-12T03:29:21Z</dcterms:modified>
  <dc:title>关于2020年年度考核有关情况的报告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BBF8D3A25A4440F6994B3780463586C2_13</vt:lpwstr>
  </property>
</Properties>
</file>